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8D" w:rsidRDefault="00D9118D" w:rsidP="00D9118D">
      <w:pPr>
        <w:pStyle w:val="NormalWeb"/>
        <w:spacing w:after="0" w:afterAutospacing="0"/>
        <w:jc w:val="both"/>
        <w:rPr>
          <w:rFonts w:ascii="Arial" w:hAnsi="Arial" w:cs="Arial"/>
        </w:rPr>
      </w:pPr>
      <w:bookmarkStart w:id="0" w:name="_GoBack"/>
      <w:bookmarkEnd w:id="0"/>
      <w:r w:rsidRPr="00544D0C">
        <w:rPr>
          <w:rFonts w:ascii="Arial" w:hAnsi="Arial" w:cs="Arial"/>
          <w:b/>
        </w:rPr>
        <w:t>El seis de abril de dos mil diecisiete, mediante Acuerdo 103/S4(6-IV-2017</w:t>
      </w:r>
      <w:r>
        <w:rPr>
          <w:rFonts w:ascii="Arial" w:hAnsi="Arial" w:cs="Arial"/>
          <w:b/>
        </w:rPr>
        <w:t>)</w:t>
      </w:r>
      <w:r w:rsidRPr="00544D0C">
        <w:rPr>
          <w:rFonts w:ascii="Arial" w:hAnsi="Arial" w:cs="Arial"/>
          <w:b/>
        </w:rPr>
        <w:t xml:space="preserve">, la Comisión de Administración aprobó las modificaciones a los Lineamientos que regulan la organización y el funcionamiento del Comité del Servicio Civil de Carrera del Tribunal Electoral del Poder Judicial de la Federación, en el apartado siguiente: </w:t>
      </w:r>
    </w:p>
    <w:p w:rsidR="00D9118D" w:rsidRPr="00107BB6" w:rsidRDefault="00D9118D" w:rsidP="00D9118D">
      <w:pPr>
        <w:spacing w:line="240" w:lineRule="auto"/>
        <w:jc w:val="center"/>
        <w:rPr>
          <w:rFonts w:ascii="Arial" w:hAnsi="Arial" w:cs="Arial"/>
          <w:b/>
          <w:noProof/>
        </w:rPr>
      </w:pPr>
      <w:r w:rsidRPr="00107BB6">
        <w:rPr>
          <w:rFonts w:ascii="Arial" w:hAnsi="Arial" w:cs="Arial"/>
          <w:b/>
          <w:noProof/>
        </w:rPr>
        <w:t>CAPÍTULO SEGUNDO</w:t>
      </w:r>
    </w:p>
    <w:p w:rsidR="00D9118D" w:rsidRPr="00E8481F" w:rsidRDefault="00D9118D" w:rsidP="00D9118D">
      <w:pPr>
        <w:spacing w:line="240" w:lineRule="auto"/>
        <w:jc w:val="center"/>
        <w:rPr>
          <w:rFonts w:ascii="Arial" w:hAnsi="Arial" w:cs="Arial"/>
          <w:b/>
          <w:noProof/>
        </w:rPr>
      </w:pPr>
      <w:r w:rsidRPr="00107BB6">
        <w:rPr>
          <w:rFonts w:ascii="Arial" w:hAnsi="Arial" w:cs="Arial"/>
          <w:b/>
          <w:noProof/>
        </w:rPr>
        <w:t xml:space="preserve">De la Organización del Comité </w:t>
      </w:r>
    </w:p>
    <w:p w:rsidR="00D9118D" w:rsidRPr="00107BB6" w:rsidRDefault="00D9118D" w:rsidP="00D9118D">
      <w:pPr>
        <w:pStyle w:val="Prrafodelista"/>
        <w:numPr>
          <w:ilvl w:val="0"/>
          <w:numId w:val="5"/>
        </w:numPr>
        <w:spacing w:after="0" w:line="240" w:lineRule="auto"/>
        <w:ind w:left="426"/>
        <w:jc w:val="both"/>
        <w:rPr>
          <w:rFonts w:ascii="Arial" w:hAnsi="Arial" w:cs="Arial"/>
          <w:noProof/>
        </w:rPr>
      </w:pPr>
      <w:r w:rsidRPr="00107BB6">
        <w:rPr>
          <w:rFonts w:ascii="Arial" w:hAnsi="Arial" w:cs="Arial"/>
          <w:noProof/>
        </w:rPr>
        <w:t>El Comité es el órgano colegiado encargado de revisar y aprobar las políticas y procedimientos del Servicio Civil de Carrera Administrativa, así como de resolver los asuntos que en la materia se sometan a su consideración. En términos de lo dispuesto por el Acuedo General, estará conformado bajo el principio de paridad, en una proporción que no exceda de tres integrantes de un mismo género conforme a lo siguiente:</w:t>
      </w:r>
    </w:p>
    <w:p w:rsidR="00D9118D" w:rsidRPr="00107BB6" w:rsidRDefault="00D9118D" w:rsidP="00D9118D">
      <w:pPr>
        <w:pStyle w:val="Prrafodelista"/>
        <w:spacing w:line="240" w:lineRule="auto"/>
        <w:jc w:val="both"/>
        <w:rPr>
          <w:rFonts w:ascii="Arial" w:hAnsi="Arial" w:cs="Arial"/>
          <w:noProof/>
        </w:rPr>
      </w:pP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noProof/>
        </w:rPr>
        <w:t>[…]</w:t>
      </w:r>
      <w:r w:rsidRPr="00107BB6">
        <w:rPr>
          <w:rFonts w:ascii="Arial" w:hAnsi="Arial" w:cs="Arial"/>
          <w:noProof/>
        </w:rPr>
        <w:t>;</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noProof/>
        </w:rPr>
        <w:t>[…]</w:t>
      </w:r>
      <w:r w:rsidRPr="00107BB6">
        <w:rPr>
          <w:rFonts w:ascii="Arial" w:hAnsi="Arial" w:cs="Arial"/>
          <w:noProof/>
        </w:rPr>
        <w:t>;</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sidRPr="00C21356">
        <w:rPr>
          <w:rFonts w:ascii="Arial" w:hAnsi="Arial" w:cs="Arial"/>
          <w:lang w:val="es-ES"/>
        </w:rPr>
        <w:t xml:space="preserve">Dos </w:t>
      </w:r>
      <w:r>
        <w:rPr>
          <w:rFonts w:ascii="Arial" w:hAnsi="Arial" w:cs="Arial"/>
          <w:lang w:val="es-ES"/>
        </w:rPr>
        <w:t>integrantes de la Comisión de Administración que lo sean del Consejo de la Judicatura Federal</w:t>
      </w:r>
      <w:r w:rsidRPr="00107BB6">
        <w:rPr>
          <w:rFonts w:ascii="Arial" w:hAnsi="Arial" w:cs="Arial"/>
          <w:noProof/>
        </w:rPr>
        <w:t>;</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noProof/>
        </w:rPr>
        <w:t>[…]</w:t>
      </w:r>
      <w:r w:rsidRPr="00107BB6">
        <w:rPr>
          <w:rFonts w:ascii="Arial" w:hAnsi="Arial" w:cs="Arial"/>
          <w:noProof/>
        </w:rPr>
        <w:t>;</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noProof/>
        </w:rPr>
        <w:t>[…]</w:t>
      </w:r>
      <w:r w:rsidRPr="00107BB6">
        <w:rPr>
          <w:rFonts w:ascii="Arial" w:hAnsi="Arial" w:cs="Arial"/>
          <w:noProof/>
        </w:rPr>
        <w:t>;</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rPr>
        <w:t>[…]</w:t>
      </w:r>
      <w:r w:rsidRPr="00107BB6">
        <w:rPr>
          <w:rFonts w:ascii="Arial" w:hAnsi="Arial" w:cs="Arial"/>
        </w:rPr>
        <w:t>;</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lang w:eastAsia="es-MX"/>
        </w:rPr>
        <w:t>[…]</w:t>
      </w:r>
      <w:r w:rsidRPr="00107BB6">
        <w:rPr>
          <w:rFonts w:ascii="Arial" w:hAnsi="Arial" w:cs="Arial"/>
          <w:lang w:eastAsia="es-MX"/>
        </w:rPr>
        <w:t xml:space="preserve">: </w:t>
      </w:r>
    </w:p>
    <w:p w:rsidR="00D9118D" w:rsidRPr="00107BB6" w:rsidRDefault="00D9118D" w:rsidP="00D9118D">
      <w:pPr>
        <w:pStyle w:val="Prrafodelista"/>
        <w:numPr>
          <w:ilvl w:val="0"/>
          <w:numId w:val="2"/>
        </w:numPr>
        <w:spacing w:after="0" w:line="240" w:lineRule="auto"/>
        <w:ind w:left="1418"/>
        <w:jc w:val="both"/>
        <w:rPr>
          <w:rFonts w:ascii="Arial" w:hAnsi="Arial" w:cs="Arial"/>
          <w:noProof/>
        </w:rPr>
      </w:pPr>
      <w:r>
        <w:rPr>
          <w:rFonts w:ascii="Arial" w:hAnsi="Arial" w:cs="Arial"/>
          <w:lang w:eastAsia="es-MX"/>
        </w:rPr>
        <w:t>[…]</w:t>
      </w:r>
      <w:r w:rsidRPr="00107BB6">
        <w:rPr>
          <w:rFonts w:ascii="Arial" w:hAnsi="Arial" w:cs="Arial"/>
          <w:lang w:eastAsia="es-MX"/>
        </w:rPr>
        <w:t xml:space="preserve">; </w:t>
      </w:r>
    </w:p>
    <w:p w:rsidR="00D9118D" w:rsidRPr="00107BB6" w:rsidRDefault="00D9118D" w:rsidP="00D9118D">
      <w:pPr>
        <w:pStyle w:val="Prrafodelista"/>
        <w:numPr>
          <w:ilvl w:val="0"/>
          <w:numId w:val="2"/>
        </w:numPr>
        <w:spacing w:after="0" w:line="240" w:lineRule="auto"/>
        <w:ind w:left="1418"/>
        <w:jc w:val="both"/>
        <w:rPr>
          <w:rFonts w:ascii="Arial" w:hAnsi="Arial" w:cs="Arial"/>
          <w:noProof/>
        </w:rPr>
      </w:pPr>
      <w:r>
        <w:rPr>
          <w:rFonts w:ascii="Arial" w:hAnsi="Arial" w:cs="Arial"/>
          <w:lang w:eastAsia="es-MX"/>
        </w:rPr>
        <w:t>[…]</w:t>
      </w:r>
      <w:r w:rsidRPr="00107BB6">
        <w:rPr>
          <w:rFonts w:ascii="Arial" w:hAnsi="Arial" w:cs="Arial"/>
          <w:lang w:eastAsia="es-MX"/>
        </w:rPr>
        <w:t>;</w:t>
      </w:r>
    </w:p>
    <w:p w:rsidR="00D9118D" w:rsidRPr="00107BB6" w:rsidRDefault="00D9118D" w:rsidP="00D9118D">
      <w:pPr>
        <w:pStyle w:val="Prrafodelista"/>
        <w:numPr>
          <w:ilvl w:val="0"/>
          <w:numId w:val="2"/>
        </w:numPr>
        <w:spacing w:after="0" w:line="240" w:lineRule="auto"/>
        <w:ind w:left="1418"/>
        <w:jc w:val="both"/>
        <w:rPr>
          <w:rFonts w:ascii="Arial" w:hAnsi="Arial" w:cs="Arial"/>
          <w:noProof/>
        </w:rPr>
      </w:pPr>
      <w:r>
        <w:rPr>
          <w:rFonts w:ascii="Arial" w:hAnsi="Arial" w:cs="Arial"/>
          <w:lang w:eastAsia="es-MX"/>
        </w:rPr>
        <w:t>[…]</w:t>
      </w:r>
      <w:r w:rsidRPr="00107BB6">
        <w:rPr>
          <w:rFonts w:ascii="Arial" w:hAnsi="Arial" w:cs="Arial"/>
          <w:lang w:eastAsia="es-MX"/>
        </w:rPr>
        <w:t>, y</w:t>
      </w:r>
    </w:p>
    <w:p w:rsidR="00D9118D" w:rsidRPr="00107BB6" w:rsidRDefault="00D9118D" w:rsidP="00D9118D">
      <w:pPr>
        <w:pStyle w:val="Prrafodelista"/>
        <w:numPr>
          <w:ilvl w:val="0"/>
          <w:numId w:val="2"/>
        </w:numPr>
        <w:spacing w:after="0" w:line="240" w:lineRule="auto"/>
        <w:ind w:left="1418"/>
        <w:jc w:val="both"/>
        <w:rPr>
          <w:rFonts w:ascii="Arial" w:hAnsi="Arial" w:cs="Arial"/>
          <w:noProof/>
        </w:rPr>
      </w:pPr>
      <w:r>
        <w:rPr>
          <w:rFonts w:ascii="Arial" w:hAnsi="Arial" w:cs="Arial"/>
          <w:lang w:eastAsia="es-MX"/>
        </w:rPr>
        <w:t>[…]</w:t>
      </w:r>
      <w:r w:rsidRPr="00107BB6">
        <w:rPr>
          <w:rFonts w:ascii="Arial" w:hAnsi="Arial" w:cs="Arial"/>
          <w:lang w:eastAsia="es-MX"/>
        </w:rPr>
        <w:t xml:space="preserve">; </w:t>
      </w:r>
    </w:p>
    <w:p w:rsidR="00D9118D" w:rsidRPr="00107BB6" w:rsidRDefault="00D9118D" w:rsidP="00D9118D">
      <w:pPr>
        <w:pStyle w:val="Prrafodelista"/>
        <w:numPr>
          <w:ilvl w:val="0"/>
          <w:numId w:val="1"/>
        </w:numPr>
        <w:spacing w:after="0" w:line="240" w:lineRule="auto"/>
        <w:ind w:left="993" w:hanging="567"/>
        <w:jc w:val="both"/>
        <w:rPr>
          <w:rFonts w:ascii="Arial" w:hAnsi="Arial" w:cs="Arial"/>
          <w:noProof/>
        </w:rPr>
      </w:pPr>
      <w:r>
        <w:rPr>
          <w:rFonts w:ascii="Arial" w:hAnsi="Arial" w:cs="Arial"/>
          <w:lang w:eastAsia="es-MX"/>
        </w:rPr>
        <w:t>[…]</w:t>
      </w:r>
      <w:r w:rsidRPr="00107BB6">
        <w:rPr>
          <w:rFonts w:ascii="Arial" w:hAnsi="Arial" w:cs="Arial"/>
          <w:lang w:eastAsia="es-MX"/>
        </w:rPr>
        <w:t>:</w:t>
      </w:r>
    </w:p>
    <w:p w:rsidR="00D9118D" w:rsidRPr="00107BB6" w:rsidRDefault="00D9118D" w:rsidP="00D9118D">
      <w:pPr>
        <w:pStyle w:val="Prrafodelista"/>
        <w:numPr>
          <w:ilvl w:val="0"/>
          <w:numId w:val="3"/>
        </w:numPr>
        <w:spacing w:after="0" w:line="240" w:lineRule="auto"/>
        <w:ind w:left="1418"/>
        <w:jc w:val="both"/>
        <w:rPr>
          <w:rFonts w:ascii="Arial" w:hAnsi="Arial" w:cs="Arial"/>
          <w:noProof/>
        </w:rPr>
      </w:pPr>
      <w:r>
        <w:rPr>
          <w:rFonts w:ascii="Arial" w:hAnsi="Arial" w:cs="Arial"/>
          <w:lang w:eastAsia="es-MX"/>
        </w:rPr>
        <w:t>[…]</w:t>
      </w:r>
      <w:r w:rsidRPr="00107BB6">
        <w:rPr>
          <w:rFonts w:ascii="Arial" w:hAnsi="Arial" w:cs="Arial"/>
          <w:lang w:eastAsia="es-MX"/>
        </w:rPr>
        <w:t>, y</w:t>
      </w:r>
    </w:p>
    <w:p w:rsidR="00D9118D" w:rsidRPr="00107BB6" w:rsidRDefault="00D9118D" w:rsidP="00D9118D">
      <w:pPr>
        <w:pStyle w:val="Prrafodelista"/>
        <w:numPr>
          <w:ilvl w:val="0"/>
          <w:numId w:val="3"/>
        </w:numPr>
        <w:spacing w:after="0" w:line="240" w:lineRule="auto"/>
        <w:ind w:left="1418"/>
        <w:jc w:val="both"/>
        <w:rPr>
          <w:rFonts w:ascii="Arial" w:hAnsi="Arial" w:cs="Arial"/>
          <w:noProof/>
        </w:rPr>
      </w:pPr>
      <w:r>
        <w:rPr>
          <w:rFonts w:ascii="Arial" w:hAnsi="Arial" w:cs="Arial"/>
          <w:lang w:eastAsia="es-MX"/>
        </w:rPr>
        <w:t>[…]</w:t>
      </w:r>
      <w:r w:rsidRPr="00107BB6">
        <w:rPr>
          <w:rFonts w:ascii="Arial" w:hAnsi="Arial" w:cs="Arial"/>
          <w:lang w:eastAsia="es-MX"/>
        </w:rPr>
        <w:t>.</w:t>
      </w:r>
    </w:p>
    <w:p w:rsidR="00D9118D" w:rsidRPr="0061178C" w:rsidRDefault="00D9118D" w:rsidP="00D9118D">
      <w:pPr>
        <w:pStyle w:val="Prrafodelista"/>
        <w:spacing w:after="0" w:line="240" w:lineRule="auto"/>
        <w:ind w:left="0"/>
        <w:jc w:val="both"/>
        <w:rPr>
          <w:rFonts w:ascii="Arial" w:hAnsi="Arial" w:cs="Arial"/>
          <w:sz w:val="20"/>
          <w:szCs w:val="20"/>
        </w:rPr>
      </w:pPr>
    </w:p>
    <w:p w:rsidR="00D9118D" w:rsidRDefault="00D9118D" w:rsidP="00D9118D">
      <w:pPr>
        <w:pStyle w:val="Prrafodelista"/>
        <w:spacing w:after="0" w:line="240" w:lineRule="auto"/>
        <w:ind w:left="0"/>
        <w:jc w:val="both"/>
        <w:rPr>
          <w:rFonts w:ascii="Arial" w:hAnsi="Arial" w:cs="Arial"/>
          <w:sz w:val="24"/>
          <w:szCs w:val="24"/>
        </w:rPr>
      </w:pPr>
      <w:r>
        <w:rPr>
          <w:rFonts w:ascii="Arial" w:hAnsi="Arial" w:cs="Arial"/>
          <w:sz w:val="24"/>
          <w:szCs w:val="24"/>
        </w:rPr>
        <w:t>[…]</w:t>
      </w:r>
    </w:p>
    <w:p w:rsidR="00D9118D" w:rsidRDefault="00D9118D" w:rsidP="00D9118D">
      <w:pPr>
        <w:pStyle w:val="Prrafodelista"/>
        <w:spacing w:after="0" w:line="240" w:lineRule="auto"/>
        <w:ind w:left="0"/>
        <w:jc w:val="both"/>
        <w:rPr>
          <w:rFonts w:ascii="Arial" w:hAnsi="Arial" w:cs="Arial"/>
          <w:sz w:val="24"/>
          <w:szCs w:val="24"/>
        </w:rPr>
      </w:pPr>
    </w:p>
    <w:p w:rsidR="00D9118D" w:rsidRPr="00A3193B" w:rsidRDefault="00D9118D" w:rsidP="00D9118D">
      <w:pPr>
        <w:pStyle w:val="Prrafodelista"/>
        <w:numPr>
          <w:ilvl w:val="0"/>
          <w:numId w:val="4"/>
        </w:numPr>
        <w:spacing w:after="0" w:line="240" w:lineRule="auto"/>
        <w:ind w:left="426"/>
        <w:jc w:val="both"/>
        <w:rPr>
          <w:rFonts w:ascii="Arial" w:hAnsi="Arial" w:cs="Arial"/>
          <w:noProof/>
        </w:rPr>
      </w:pPr>
      <w:r w:rsidRPr="00A3193B">
        <w:rPr>
          <w:rFonts w:ascii="Arial" w:hAnsi="Arial" w:cs="Arial"/>
          <w:noProof/>
        </w:rPr>
        <w:t>La persona que ostenta la Presidencia de la Comisión de Administración; la Magistrada o Magistrado de la Sala Superior que desempeñe el cargo de Comisionada o Comisionado en la Comisión de Administración y la</w:t>
      </w:r>
      <w:r>
        <w:rPr>
          <w:rFonts w:ascii="Arial" w:hAnsi="Arial" w:cs="Arial"/>
          <w:noProof/>
        </w:rPr>
        <w:t>s</w:t>
      </w:r>
      <w:r w:rsidRPr="00A3193B">
        <w:rPr>
          <w:rFonts w:ascii="Arial" w:hAnsi="Arial" w:cs="Arial"/>
          <w:noProof/>
        </w:rPr>
        <w:t xml:space="preserve"> persona</w:t>
      </w:r>
      <w:r>
        <w:rPr>
          <w:rFonts w:ascii="Arial" w:hAnsi="Arial" w:cs="Arial"/>
          <w:noProof/>
        </w:rPr>
        <w:t>s</w:t>
      </w:r>
      <w:r w:rsidRPr="00A3193B">
        <w:rPr>
          <w:rFonts w:ascii="Arial" w:hAnsi="Arial" w:cs="Arial"/>
          <w:noProof/>
        </w:rPr>
        <w:t xml:space="preserve"> integrante</w:t>
      </w:r>
      <w:r>
        <w:rPr>
          <w:rFonts w:ascii="Arial" w:hAnsi="Arial" w:cs="Arial"/>
          <w:noProof/>
        </w:rPr>
        <w:t>s</w:t>
      </w:r>
      <w:r w:rsidRPr="00A3193B">
        <w:rPr>
          <w:rFonts w:ascii="Arial" w:hAnsi="Arial" w:cs="Arial"/>
          <w:noProof/>
        </w:rPr>
        <w:t xml:space="preserve"> de la Comisión de Administración que sea</w:t>
      </w:r>
      <w:r>
        <w:rPr>
          <w:rFonts w:ascii="Arial" w:hAnsi="Arial" w:cs="Arial"/>
          <w:noProof/>
        </w:rPr>
        <w:t>n</w:t>
      </w:r>
      <w:r w:rsidRPr="00A3193B">
        <w:rPr>
          <w:rFonts w:ascii="Arial" w:hAnsi="Arial" w:cs="Arial"/>
          <w:noProof/>
        </w:rPr>
        <w:t xml:space="preserve"> parte del Consejo de la Judicatura Federal, integrarán el Comité en los términos que indica el Acuerdo General.</w:t>
      </w:r>
    </w:p>
    <w:p w:rsidR="00D9118D" w:rsidRDefault="00D9118D" w:rsidP="00D9118D">
      <w:pPr>
        <w:spacing w:after="120" w:line="240" w:lineRule="auto"/>
        <w:jc w:val="both"/>
        <w:rPr>
          <w:rFonts w:ascii="Arial" w:hAnsi="Arial" w:cs="Arial"/>
          <w:b/>
        </w:rPr>
      </w:pPr>
    </w:p>
    <w:p w:rsidR="00D9118D" w:rsidRDefault="00D9118D" w:rsidP="00D9118D">
      <w:pPr>
        <w:spacing w:after="120" w:line="240" w:lineRule="auto"/>
        <w:jc w:val="both"/>
        <w:rPr>
          <w:rFonts w:ascii="Arial" w:hAnsi="Arial" w:cs="Arial"/>
          <w:b/>
        </w:rPr>
      </w:pPr>
      <w:r>
        <w:rPr>
          <w:rFonts w:ascii="Arial" w:hAnsi="Arial" w:cs="Arial"/>
          <w:b/>
        </w:rPr>
        <w:t xml:space="preserve">TRANSITORIOS A LAS REFORMAS APROBADAS POR LA COMISIÓN DE ADMINISTRACIÓN MEDIANTE ACUERDO 103/S4(6-IV-2017), EMITIDO EN SU CUARTA SESIÓN ORDINARIA CELEBRADA EL SEIS DE ABRIL DE DOS MIL DIECISIETE.  </w:t>
      </w:r>
    </w:p>
    <w:p w:rsidR="00D9118D" w:rsidRDefault="00D9118D" w:rsidP="00D9118D">
      <w:pPr>
        <w:spacing w:line="240" w:lineRule="auto"/>
        <w:jc w:val="both"/>
        <w:rPr>
          <w:rFonts w:ascii="Arial" w:hAnsi="Arial" w:cs="Arial"/>
        </w:rPr>
      </w:pPr>
      <w:r>
        <w:rPr>
          <w:rFonts w:ascii="Arial" w:hAnsi="Arial" w:cs="Arial"/>
          <w:b/>
        </w:rPr>
        <w:t>PRIMERO.</w:t>
      </w:r>
      <w:r>
        <w:rPr>
          <w:rFonts w:ascii="Arial" w:hAnsi="Arial" w:cs="Arial"/>
        </w:rPr>
        <w:t xml:space="preserve"> La presente reforma entrará en vigor al día siguiente de su publicación en el Diario Oficial de la Federación.</w:t>
      </w:r>
    </w:p>
    <w:p w:rsidR="00D9118D" w:rsidRDefault="00D9118D" w:rsidP="00D9118D">
      <w:pPr>
        <w:spacing w:after="120" w:line="240" w:lineRule="auto"/>
        <w:jc w:val="both"/>
        <w:rPr>
          <w:rFonts w:ascii="Arial" w:hAnsi="Arial" w:cs="Arial"/>
        </w:rPr>
      </w:pPr>
      <w:r>
        <w:rPr>
          <w:rFonts w:ascii="Arial" w:hAnsi="Arial" w:cs="Arial"/>
          <w:b/>
        </w:rPr>
        <w:t>SEGUNDO.</w:t>
      </w:r>
      <w:r>
        <w:rPr>
          <w:rFonts w:ascii="Arial" w:hAnsi="Arial" w:cs="Arial"/>
        </w:rPr>
        <w:t xml:space="preserve"> Se derogan todas aquellas disposiciones que contravengan a las presentes reformas.</w:t>
      </w:r>
    </w:p>
    <w:p w:rsidR="00D9118D" w:rsidRDefault="00D9118D" w:rsidP="00D9118D">
      <w:pPr>
        <w:spacing w:after="120" w:line="240" w:lineRule="auto"/>
        <w:jc w:val="both"/>
        <w:rPr>
          <w:rFonts w:ascii="Arial" w:hAnsi="Arial" w:cs="Arial"/>
        </w:rPr>
      </w:pPr>
      <w:r>
        <w:rPr>
          <w:rFonts w:ascii="Arial" w:hAnsi="Arial" w:cs="Arial"/>
          <w:b/>
        </w:rPr>
        <w:t>TERCERO.</w:t>
      </w:r>
      <w:r>
        <w:rPr>
          <w:rFonts w:ascii="Arial" w:hAnsi="Arial" w:cs="Arial"/>
        </w:rPr>
        <w:t xml:space="preserve"> Para su mayor difusión, publíquese en las páginas de intranet e internet del Tribunal Electoral del Poder Judicial de la Federación; adicionalmente, hágase del conocimiento a todas las áreas del Tribunal Electoral a partir de su entrada en vigor. </w:t>
      </w:r>
    </w:p>
    <w:p w:rsidR="00D9118D" w:rsidRDefault="00D9118D" w:rsidP="00D9118D">
      <w:pPr>
        <w:jc w:val="both"/>
        <w:outlineLvl w:val="0"/>
        <w:rPr>
          <w:rFonts w:ascii="Arial" w:eastAsia="Times New Roman" w:hAnsi="Arial" w:cs="Arial"/>
          <w:lang w:val="es-ES"/>
        </w:rPr>
      </w:pPr>
      <w:r>
        <w:rPr>
          <w:rFonts w:ascii="Arial" w:eastAsia="Times New Roman" w:hAnsi="Arial" w:cs="Arial"/>
          <w:lang w:val="es-ES"/>
        </w:rPr>
        <w:lastRenderedPageBreak/>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D9118D" w:rsidRDefault="00D9118D" w:rsidP="00D9118D">
      <w:pPr>
        <w:jc w:val="both"/>
        <w:outlineLvl w:val="0"/>
        <w:rPr>
          <w:rFonts w:ascii="Arial" w:eastAsia="Times New Roman" w:hAnsi="Arial" w:cs="Arial"/>
          <w:lang w:val="es-ES"/>
        </w:rPr>
      </w:pPr>
    </w:p>
    <w:p w:rsidR="00D9118D" w:rsidRDefault="00D9118D" w:rsidP="00D9118D">
      <w:pPr>
        <w:jc w:val="both"/>
        <w:outlineLvl w:val="0"/>
        <w:rPr>
          <w:rFonts w:ascii="Arial" w:eastAsia="Times New Roman" w:hAnsi="Arial" w:cs="Arial"/>
          <w:lang w:val="es-ES"/>
        </w:rPr>
      </w:pPr>
    </w:p>
    <w:p w:rsidR="00D9118D" w:rsidRDefault="00D9118D" w:rsidP="00D9118D">
      <w:pPr>
        <w:jc w:val="both"/>
        <w:outlineLvl w:val="0"/>
        <w:rPr>
          <w:rFonts w:ascii="Arial" w:eastAsia="Times New Roman" w:hAnsi="Arial" w:cs="Arial"/>
          <w:lang w:val="es-ES"/>
        </w:rPr>
      </w:pPr>
    </w:p>
    <w:p w:rsidR="00D9118D" w:rsidRDefault="00D9118D" w:rsidP="00D9118D">
      <w:pPr>
        <w:jc w:val="both"/>
        <w:outlineLvl w:val="0"/>
        <w:rPr>
          <w:rFonts w:ascii="Arial" w:eastAsia="Times New Roman" w:hAnsi="Arial" w:cs="Arial"/>
          <w:b/>
          <w:lang w:val="es-ES"/>
        </w:rPr>
      </w:pPr>
      <w:r>
        <w:rPr>
          <w:rFonts w:ascii="Arial" w:eastAsia="Times New Roman" w:hAnsi="Arial" w:cs="Arial"/>
          <w:b/>
          <w:lang w:val="es-ES"/>
        </w:rPr>
        <w:t>----------------------------------------------------C E R T I F I C A----------------------------------------------------</w:t>
      </w:r>
    </w:p>
    <w:p w:rsidR="00D9118D" w:rsidRDefault="00D9118D" w:rsidP="00D9118D">
      <w:pPr>
        <w:jc w:val="both"/>
        <w:outlineLvl w:val="0"/>
        <w:rPr>
          <w:rFonts w:ascii="Arial" w:eastAsia="Times New Roman" w:hAnsi="Arial" w:cs="Arial"/>
          <w:b/>
          <w:lang w:val="es-ES"/>
        </w:rPr>
      </w:pPr>
    </w:p>
    <w:p w:rsidR="00D9118D" w:rsidRDefault="00D9118D" w:rsidP="00D9118D">
      <w:pPr>
        <w:jc w:val="both"/>
        <w:outlineLvl w:val="0"/>
        <w:rPr>
          <w:rFonts w:ascii="Arial" w:eastAsia="Times New Roman" w:hAnsi="Arial" w:cs="Arial"/>
          <w:lang w:val="es-ES"/>
        </w:rPr>
      </w:pPr>
      <w:r>
        <w:rPr>
          <w:rFonts w:ascii="Arial" w:eastAsia="Times New Roman" w:hAnsi="Arial" w:cs="Arial"/>
          <w:lang w:val="es-ES"/>
        </w:rPr>
        <w:t xml:space="preserve">Que la presente copia en 2 fojas impresas corresponde a la </w:t>
      </w:r>
      <w:r>
        <w:rPr>
          <w:rFonts w:ascii="Arial" w:eastAsia="Times New Roman" w:hAnsi="Arial" w:cs="Arial"/>
          <w:b/>
          <w:lang w:val="es-ES"/>
        </w:rPr>
        <w:t xml:space="preserve">MODIFICACIÓN A LOS LINEAMIENTOS QUE REGULAN LA ORGANIZACIÓN Y EL FUNCIONAMIENTO DEL COMITÉ DEL SERVICIO CIVIL DE CARRERA DEL TRIBUNAL ELECTORAL DEL PODER JUDICIAL DE LA FEDERACIÓN, </w:t>
      </w:r>
      <w:r>
        <w:rPr>
          <w:rFonts w:ascii="Arial" w:eastAsia="Times New Roman" w:hAnsi="Arial" w:cs="Arial"/>
          <w:lang w:val="es-ES"/>
        </w:rPr>
        <w:t xml:space="preserve">aprobado por la Comisión de Administración mediante Acuerdo </w:t>
      </w:r>
      <w:r>
        <w:rPr>
          <w:rFonts w:ascii="Arial" w:eastAsia="Times New Roman" w:hAnsi="Arial" w:cs="Arial"/>
          <w:b/>
          <w:lang w:val="es-ES"/>
        </w:rPr>
        <w:t xml:space="preserve">103/S4(6-IV-2017), </w:t>
      </w:r>
      <w:r>
        <w:rPr>
          <w:rFonts w:ascii="Arial" w:eastAsia="Times New Roman" w:hAnsi="Arial" w:cs="Arial"/>
          <w:lang w:val="es-ES"/>
        </w:rPr>
        <w:t xml:space="preserve">emitido en la Cuarta Sesión Ordinaria celebrada el 6 de abril de 2017, que obra en los archivos de la Dirección General de Asuntos Jurídicos. </w:t>
      </w:r>
      <w:r w:rsidRPr="00AC75F0">
        <w:rPr>
          <w:rFonts w:ascii="Arial" w:eastAsia="Times New Roman" w:hAnsi="Arial" w:cs="Arial"/>
          <w:b/>
          <w:lang w:val="es-ES"/>
        </w:rPr>
        <w:t>DOY FE</w:t>
      </w:r>
      <w:r>
        <w:rPr>
          <w:rFonts w:ascii="Arial" w:eastAsia="Times New Roman" w:hAnsi="Arial" w:cs="Arial"/>
          <w:lang w:val="es-ES"/>
        </w:rPr>
        <w:t>-----------------------------------------------------------------------------------------------------------------------------------------</w:t>
      </w:r>
    </w:p>
    <w:p w:rsidR="00D9118D" w:rsidRDefault="00D9118D" w:rsidP="00D9118D">
      <w:pPr>
        <w:jc w:val="both"/>
        <w:outlineLvl w:val="0"/>
        <w:rPr>
          <w:rFonts w:ascii="Arial" w:eastAsia="Times New Roman" w:hAnsi="Arial" w:cs="Arial"/>
          <w:lang w:val="es-ES"/>
        </w:rPr>
      </w:pPr>
    </w:p>
    <w:p w:rsidR="00D9118D" w:rsidRDefault="00D9118D" w:rsidP="00D9118D">
      <w:pPr>
        <w:jc w:val="both"/>
        <w:outlineLvl w:val="0"/>
        <w:rPr>
          <w:rFonts w:ascii="Arial" w:eastAsia="Times New Roman" w:hAnsi="Arial" w:cs="Arial"/>
          <w:lang w:val="es-ES"/>
        </w:rPr>
      </w:pPr>
    </w:p>
    <w:p w:rsidR="00D9118D" w:rsidRDefault="00D9118D" w:rsidP="00D9118D">
      <w:pPr>
        <w:jc w:val="both"/>
        <w:outlineLvl w:val="0"/>
        <w:rPr>
          <w:rFonts w:ascii="Arial" w:eastAsia="Times New Roman" w:hAnsi="Arial" w:cs="Arial"/>
          <w:lang w:val="es-ES"/>
        </w:rPr>
      </w:pPr>
      <w:r>
        <w:rPr>
          <w:rFonts w:ascii="Arial" w:eastAsia="Times New Roman" w:hAnsi="Arial" w:cs="Arial"/>
          <w:lang w:val="es-ES"/>
        </w:rPr>
        <w:t>Ciudad de México, 4 de mayo de 2017. -----------------------------------------------------------------------</w:t>
      </w:r>
    </w:p>
    <w:p w:rsidR="00D9118D" w:rsidRDefault="00D9118D" w:rsidP="00D9118D">
      <w:pPr>
        <w:jc w:val="both"/>
        <w:outlineLvl w:val="0"/>
        <w:rPr>
          <w:rFonts w:ascii="Arial" w:eastAsia="Times New Roman" w:hAnsi="Arial" w:cs="Arial"/>
          <w:lang w:val="es-ES"/>
        </w:rPr>
      </w:pPr>
    </w:p>
    <w:p w:rsidR="00D9118D" w:rsidRDefault="00D9118D" w:rsidP="00D9118D">
      <w:pPr>
        <w:jc w:val="both"/>
        <w:outlineLvl w:val="0"/>
        <w:rPr>
          <w:rFonts w:ascii="Arial" w:eastAsia="Times New Roman" w:hAnsi="Arial" w:cs="Arial"/>
          <w:lang w:val="es-ES"/>
        </w:rPr>
      </w:pPr>
    </w:p>
    <w:p w:rsidR="00D9118D" w:rsidRDefault="00D9118D" w:rsidP="00D9118D">
      <w:pPr>
        <w:spacing w:after="0" w:line="240" w:lineRule="auto"/>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D9118D" w:rsidRDefault="00D9118D" w:rsidP="00D9118D">
      <w:pPr>
        <w:spacing w:after="0" w:line="240" w:lineRule="auto"/>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D9118D" w:rsidRDefault="00D9118D" w:rsidP="00D9118D">
      <w:pPr>
        <w:spacing w:line="360" w:lineRule="auto"/>
        <w:jc w:val="center"/>
        <w:outlineLvl w:val="0"/>
        <w:rPr>
          <w:rFonts w:ascii="Arial" w:eastAsia="Times New Roman" w:hAnsi="Arial" w:cs="Arial"/>
          <w:b/>
          <w:lang w:val="es-ES"/>
        </w:rPr>
      </w:pPr>
    </w:p>
    <w:p w:rsidR="00D9118D" w:rsidRDefault="00D9118D" w:rsidP="00D9118D">
      <w:pPr>
        <w:spacing w:line="360" w:lineRule="auto"/>
        <w:jc w:val="center"/>
        <w:outlineLvl w:val="0"/>
        <w:rPr>
          <w:rFonts w:ascii="Arial" w:eastAsia="Times New Roman" w:hAnsi="Arial" w:cs="Arial"/>
          <w:b/>
          <w:lang w:val="es-ES"/>
        </w:rPr>
      </w:pPr>
    </w:p>
    <w:p w:rsidR="00D9118D" w:rsidRDefault="00D9118D" w:rsidP="00D9118D">
      <w:pPr>
        <w:jc w:val="center"/>
        <w:rPr>
          <w:rFonts w:ascii="Arial" w:eastAsia="Times New Roman" w:hAnsi="Arial" w:cs="Arial"/>
          <w:b/>
          <w:color w:val="000000"/>
          <w:lang w:val="es-ES"/>
        </w:rPr>
      </w:pPr>
      <w:r>
        <w:rPr>
          <w:rFonts w:ascii="Arial" w:eastAsia="Times New Roman" w:hAnsi="Arial" w:cs="Arial"/>
          <w:b/>
          <w:color w:val="000000"/>
          <w:lang w:val="es-ES"/>
        </w:rPr>
        <w:t>LIC. JORGE ENRIQUE MATA GÓMEZ</w:t>
      </w:r>
    </w:p>
    <w:p w:rsidR="00D9118D" w:rsidRDefault="00D9118D" w:rsidP="00D9118D">
      <w:pPr>
        <w:spacing w:after="120" w:line="240" w:lineRule="auto"/>
        <w:jc w:val="both"/>
        <w:rPr>
          <w:rFonts w:ascii="Arial" w:hAnsi="Arial" w:cs="Arial"/>
        </w:rPr>
      </w:pPr>
    </w:p>
    <w:p w:rsidR="00D9118D" w:rsidRDefault="00D9118D" w:rsidP="00D9118D">
      <w:pPr>
        <w:spacing w:after="120" w:line="240" w:lineRule="auto"/>
        <w:jc w:val="both"/>
      </w:pPr>
    </w:p>
    <w:p w:rsidR="00D7600A" w:rsidRDefault="00D9118D"/>
    <w:sectPr w:rsidR="00D7600A" w:rsidSect="00E8481F">
      <w:footerReference w:type="default" r:id="rId5"/>
      <w:pgSz w:w="12240" w:h="15840" w:code="1"/>
      <w:pgMar w:top="1276" w:right="127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645284"/>
      <w:docPartObj>
        <w:docPartGallery w:val="Page Numbers (Bottom of Page)"/>
        <w:docPartUnique/>
      </w:docPartObj>
    </w:sdtPr>
    <w:sdtEndPr/>
    <w:sdtContent>
      <w:p w:rsidR="004B7F5C" w:rsidRDefault="00D9118D" w:rsidP="00765313">
        <w:pPr>
          <w:pStyle w:val="Piedepgina"/>
          <w:jc w:val="right"/>
        </w:pPr>
        <w:r>
          <w:fldChar w:fldCharType="begin"/>
        </w:r>
        <w:r>
          <w:instrText xml:space="preserve">PAGE   \* </w:instrText>
        </w:r>
        <w:r>
          <w:instrText>MERGEFORMAT</w:instrText>
        </w:r>
        <w:r>
          <w:fldChar w:fldCharType="separate"/>
        </w:r>
        <w:r w:rsidRPr="00D9118D">
          <w:rPr>
            <w:noProof/>
            <w:lang w:val="es-ES"/>
          </w:rPr>
          <w:t>1</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072"/>
    <w:multiLevelType w:val="hybridMultilevel"/>
    <w:tmpl w:val="8F401538"/>
    <w:lvl w:ilvl="0" w:tplc="4CAA97AE">
      <w:start w:val="1"/>
      <w:numFmt w:val="upperRoman"/>
      <w:lvlText w:val="%1."/>
      <w:lvlJc w:val="left"/>
      <w:pPr>
        <w:ind w:left="1500" w:hanging="360"/>
      </w:pPr>
      <w:rPr>
        <w:rFonts w:ascii="Arial" w:eastAsia="MS Mincho" w:hAnsi="Arial" w:cs="Arial"/>
        <w:b/>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 w15:restartNumberingAfterBreak="0">
    <w:nsid w:val="113C6870"/>
    <w:multiLevelType w:val="hybridMultilevel"/>
    <w:tmpl w:val="BE427416"/>
    <w:lvl w:ilvl="0" w:tplc="D7E0380A">
      <w:start w:val="5"/>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1BCB7237"/>
    <w:multiLevelType w:val="hybridMultilevel"/>
    <w:tmpl w:val="86DE7F1C"/>
    <w:lvl w:ilvl="0" w:tplc="B8AE8FB6">
      <w:start w:val="1"/>
      <w:numFmt w:val="lowerLetter"/>
      <w:lvlText w:val="%1)"/>
      <w:lvlJc w:val="left"/>
      <w:pPr>
        <w:ind w:left="1860" w:hanging="360"/>
      </w:pPr>
      <w:rPr>
        <w:rFonts w:hint="default"/>
        <w:b/>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3" w15:restartNumberingAfterBreak="0">
    <w:nsid w:val="53CB5C6F"/>
    <w:multiLevelType w:val="hybridMultilevel"/>
    <w:tmpl w:val="9F40C830"/>
    <w:lvl w:ilvl="0" w:tplc="4BB2572A">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6B1B6F"/>
    <w:multiLevelType w:val="hybridMultilevel"/>
    <w:tmpl w:val="89C4B37E"/>
    <w:lvl w:ilvl="0" w:tplc="8950621A">
      <w:start w:val="1"/>
      <w:numFmt w:val="lowerLetter"/>
      <w:lvlText w:val="%1)"/>
      <w:lvlJc w:val="left"/>
      <w:pPr>
        <w:ind w:left="1860" w:hanging="360"/>
      </w:pPr>
      <w:rPr>
        <w:rFonts w:hint="default"/>
        <w:b/>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8D"/>
    <w:rsid w:val="000073A9"/>
    <w:rsid w:val="00384DB1"/>
    <w:rsid w:val="008834CC"/>
    <w:rsid w:val="00D911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8B87B-E1C1-4C92-B459-7B4311EB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1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9118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D9118D"/>
    <w:pPr>
      <w:ind w:left="720"/>
      <w:contextualSpacing/>
    </w:pPr>
  </w:style>
  <w:style w:type="paragraph" w:styleId="Piedepgina">
    <w:name w:val="footer"/>
    <w:basedOn w:val="Normal"/>
    <w:link w:val="PiedepginaCar"/>
    <w:uiPriority w:val="99"/>
    <w:unhideWhenUsed/>
    <w:rsid w:val="00D911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118D"/>
  </w:style>
  <w:style w:type="character" w:customStyle="1" w:styleId="PrrafodelistaCar">
    <w:name w:val="Párrafo de lista Car"/>
    <w:link w:val="Prrafodelista"/>
    <w:uiPriority w:val="34"/>
    <w:locked/>
    <w:rsid w:val="00D9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2781</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Bárbara Leslie Valdez González</cp:lastModifiedBy>
  <cp:revision>1</cp:revision>
  <dcterms:created xsi:type="dcterms:W3CDTF">2017-05-08T18:41:00Z</dcterms:created>
  <dcterms:modified xsi:type="dcterms:W3CDTF">2017-05-08T18:42:00Z</dcterms:modified>
</cp:coreProperties>
</file>